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 xml:space="preserve">АВТОНОМНАЯ НЕКОММЕРЧЕСКАЯ ОРГАНИЗАЦИЯ ВЫСШЕГО </w:t>
      </w:r>
      <w:bookmarkStart w:id="0" w:name="_GoBack"/>
      <w:bookmarkEnd w:id="0"/>
      <w:r w:rsidRPr="00097E30">
        <w:rPr>
          <w:b/>
        </w:rPr>
        <w:t>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бакалавра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AE03F5">
        <w:t>38.03.01</w:t>
      </w:r>
      <w:r>
        <w:t xml:space="preserve"> </w:t>
      </w:r>
      <w:r w:rsidR="00AE03F5">
        <w:t>Экономика</w:t>
      </w:r>
      <w:r>
        <w:rPr>
          <w:spacing w:val="-67"/>
        </w:rPr>
        <w:t xml:space="preserve"> </w:t>
      </w:r>
    </w:p>
    <w:p w:rsidR="008A2FE7" w:rsidRDefault="00097E30" w:rsidP="00097E30">
      <w:pPr>
        <w:pStyle w:val="a3"/>
        <w:tabs>
          <w:tab w:val="left" w:pos="10915"/>
        </w:tabs>
        <w:spacing w:line="480" w:lineRule="auto"/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>– бакалавр)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образовательную программу бакалавров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 работе (ВКР) бакалавра,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AE03F5">
          <w:headerReference w:type="default" r:id="rId7"/>
          <w:pgSz w:w="11910" w:h="16840"/>
          <w:pgMar w:top="1134" w:right="850" w:bottom="1134" w:left="1701" w:header="710" w:footer="0" w:gutter="0"/>
          <w:cols w:space="720"/>
          <w:titlePg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432947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432947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432947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бакалавра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432947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432947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432947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432947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432947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432947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432947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432947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432947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432947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432947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432947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432947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47" w:rsidRDefault="00432947">
      <w:r>
        <w:separator/>
      </w:r>
    </w:p>
  </w:endnote>
  <w:endnote w:type="continuationSeparator" w:id="0">
    <w:p w:rsidR="00432947" w:rsidRDefault="004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47" w:rsidRDefault="00432947">
      <w:r>
        <w:separator/>
      </w:r>
    </w:p>
  </w:footnote>
  <w:footnote w:type="continuationSeparator" w:id="0">
    <w:p w:rsidR="00432947" w:rsidRDefault="0043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4329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03F5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4329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03F5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4329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03F5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4329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4329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03F5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97E30"/>
    <w:rsid w:val="003A3680"/>
    <w:rsid w:val="00432947"/>
    <w:rsid w:val="0059687A"/>
    <w:rsid w:val="007A66FF"/>
    <w:rsid w:val="008A2FE7"/>
    <w:rsid w:val="00A03BB5"/>
    <w:rsid w:val="00AA55CE"/>
    <w:rsid w:val="00AE03F5"/>
    <w:rsid w:val="00B0102A"/>
    <w:rsid w:val="00BD0465"/>
    <w:rsid w:val="00CA06D0"/>
    <w:rsid w:val="00E30319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9</cp:revision>
  <dcterms:created xsi:type="dcterms:W3CDTF">2022-01-21T14:19:00Z</dcterms:created>
  <dcterms:modified xsi:type="dcterms:W3CDTF">2022-01-21T14:48:00Z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